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F3" w:rsidRPr="00564FF3" w:rsidRDefault="00564FF3" w:rsidP="00564FF3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  <w:t>Ν.4172/2013</w:t>
      </w:r>
      <w:r w:rsidRPr="00564FF3"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  <w:br/>
        <w:t>(ΦΕΚ Α΄167/23.07.2013)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564FF3"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  <w:t>Φορολογία εισοδήματος, επείγοντα μέτρα εφαρμογής του ν. 4046/2012, του ν. 4093/2012 και του ν. 4127/2013 και άλλες διατάξεις.</w:t>
      </w:r>
    </w:p>
    <w:p w:rsidR="00564FF3" w:rsidRDefault="00564FF3" w:rsidP="00564FF3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  <w:t>ΚΩΔΙΚΑΣ ΦΟΡΟΛΟΓΙΑΣ ΕΙΣΟΔΗΜΑΤΟΣ</w:t>
      </w:r>
    </w:p>
    <w:p w:rsidR="00564FF3" w:rsidRDefault="00564FF3" w:rsidP="00564FF3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</w:pPr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el-GR"/>
        </w:rPr>
        <w:t>……………………………………………………………………………………………………………</w:t>
      </w:r>
    </w:p>
    <w:p w:rsidR="00564FF3" w:rsidRPr="00564FF3" w:rsidRDefault="00564FF3" w:rsidP="00564FF3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Άρθρο 15</w:t>
      </w: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br/>
        <w:t>Φορολογικός συντελεστής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1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. Το φορολογητέο εισόδημα από μισθωτή εργασία και συντάξεις υποβάλλεται σε φόρο, σύμφωνα με την ακόλουθη κλίμακα:</w:t>
      </w:r>
    </w:p>
    <w:tbl>
      <w:tblPr>
        <w:tblW w:w="69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1"/>
        <w:gridCol w:w="2093"/>
      </w:tblGrid>
      <w:tr w:rsidR="00564FF3" w:rsidRPr="00564FF3" w:rsidTr="00564FF3">
        <w:trPr>
          <w:trHeight w:val="720"/>
        </w:trPr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Εισόδημα (Μισθοί, Συντάξεις, Επιχειρηματική Δραστηριότητα) σε ευρώ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Фоρ</w:t>
            </w:r>
            <w:proofErr w:type="spellEnd"/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 Συντελεστής</w:t>
            </w:r>
          </w:p>
        </w:tc>
      </w:tr>
      <w:tr w:rsidR="00564FF3" w:rsidRPr="00564FF3" w:rsidTr="00564FF3">
        <w:trPr>
          <w:trHeight w:val="360"/>
        </w:trPr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0 - 20.000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22%</w:t>
            </w:r>
          </w:p>
        </w:tc>
      </w:tr>
      <w:tr w:rsidR="00564FF3" w:rsidRPr="00564FF3" w:rsidTr="00564FF3">
        <w:trPr>
          <w:trHeight w:val="360"/>
        </w:trPr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20.001 - 30.000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29%</w:t>
            </w:r>
          </w:p>
        </w:tc>
      </w:tr>
      <w:tr w:rsidR="00564FF3" w:rsidRPr="00564FF3" w:rsidTr="00564FF3">
        <w:trPr>
          <w:trHeight w:val="360"/>
        </w:trPr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30.001 - 40.000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37%</w:t>
            </w:r>
          </w:p>
        </w:tc>
      </w:tr>
      <w:tr w:rsidR="00564FF3" w:rsidRPr="00564FF3" w:rsidTr="00564FF3">
        <w:trPr>
          <w:trHeight w:val="360"/>
        </w:trPr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40.001 -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45%</w:t>
            </w:r>
          </w:p>
        </w:tc>
      </w:tr>
    </w:tbl>
    <w:p w:rsidR="00564FF3" w:rsidRPr="00564FF3" w:rsidRDefault="00564FF3" w:rsidP="00564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2.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Η παράγραφος 1 δεν εφαρμόζεται για το εισόδημα από μισθωτή εργασία που αποκτούν: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α)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οι αξιωματικοί που υπηρετούν σε πλοία του εμπορικού ναυτικού και το οποίο φορολογείται με φορολογικό συντελεστή 15% και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β)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το κατώτερο πλήρωμα που υπηρετεί σε πλοία του εμπορικού ναυτικού και το οποίο φορολογείται με φορολογικό συντελεστή 10%.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3.</w:t>
      </w:r>
      <w:r w:rsidRPr="00564FF3"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  <w:t> Με την επιφύλαξη της περίπτωσης στ` της παραγράφου 1 του άρθρου 14, φορολογείται αυτοτελώς με εξάντληση της φορολογικής υποχρέωσης, κάθε εφάπαξ αποζημίωση που παρέχεται από οποιονδήποτε φορέα και για οποιονδήποτε λόγο διακοπής της σχέσεως εργασίας ή άλλης σύμβασης, η οποία συνδέει το φορέα με τον δικαιούχο της αποζημίωσης.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  <w:t>Ο φόρος υπολογίζεται, σύμφωνα με την ακόλουθη κλίμακα:</w:t>
      </w:r>
    </w:p>
    <w:tbl>
      <w:tblPr>
        <w:tblW w:w="882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0"/>
        <w:gridCol w:w="4105"/>
      </w:tblGrid>
      <w:tr w:rsidR="00564FF3" w:rsidRPr="00564FF3" w:rsidTr="00564FF3">
        <w:trPr>
          <w:trHeight w:val="24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bookmarkStart w:id="0" w:name="_GoBack"/>
            <w:bookmarkEnd w:id="0"/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Κλιμάκιο αποζημίωσης (ευρώ)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Φορολογικός συντελεστής</w:t>
            </w:r>
          </w:p>
        </w:tc>
      </w:tr>
      <w:tr w:rsidR="00564FF3" w:rsidRPr="00564FF3" w:rsidTr="00564FF3">
        <w:trPr>
          <w:trHeight w:val="2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el-GR"/>
              </w:rPr>
              <w:t>&lt;</w:t>
            </w: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 60.000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0%</w:t>
            </w:r>
          </w:p>
        </w:tc>
      </w:tr>
      <w:tr w:rsidR="00564FF3" w:rsidRPr="00564FF3" w:rsidTr="00564FF3">
        <w:trPr>
          <w:trHeight w:val="2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60.000,01 - 100.000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10%</w:t>
            </w:r>
          </w:p>
        </w:tc>
      </w:tr>
      <w:tr w:rsidR="00564FF3" w:rsidRPr="00564FF3" w:rsidTr="00564FF3">
        <w:trPr>
          <w:trHeight w:val="24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100.000,01 - 150.000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20%</w:t>
            </w:r>
          </w:p>
        </w:tc>
      </w:tr>
      <w:tr w:rsidR="00564FF3" w:rsidRPr="00564FF3" w:rsidTr="00564FF3">
        <w:trPr>
          <w:trHeight w:val="2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&gt; 150.000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FF3" w:rsidRPr="00564FF3" w:rsidRDefault="00564FF3" w:rsidP="00564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</w:pPr>
            <w:r w:rsidRPr="00564F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l-GR"/>
              </w:rPr>
              <w:t>30%</w:t>
            </w:r>
          </w:p>
        </w:tc>
      </w:tr>
    </w:tbl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  <w:t> 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color w:val="000000"/>
          <w:sz w:val="20"/>
          <w:szCs w:val="20"/>
          <w:lang w:eastAsia="el-GR"/>
        </w:rPr>
        <w:t>4. 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Το ασφάλισμα που καταβάλλεται στο πλαίσιο ομαδικών ασφαλιστήριων συνταξιοδοτικών συμβολαίων φορολογείται αυτοτελώς: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el-GR"/>
        </w:rPr>
        <w:t>α)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Με συντελεστή δεκαπέντε τοις εκατό (15%) για κάθε περιοδικά καταβαλλόμενη παροχή.</w:t>
      </w:r>
    </w:p>
    <w:p w:rsidR="00564FF3" w:rsidRPr="00564FF3" w:rsidRDefault="00564FF3" w:rsidP="00564FF3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564FF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el-GR"/>
        </w:rPr>
        <w:t>β)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Με συντελεστή δέκα τοις εκατό (10%) για εφάπαξ καταβαλλόμενη παροχή μέχρι σαράντα χιλιάδες (40.000) ευρώ και με συντελεστή είκοσι τοις εκατό (20%) για εφάπαξ καταβαλλόμενη παροχή που υπερβαίνει </w:t>
      </w:r>
      <w:r w:rsidRPr="00564FF3">
        <w:rPr>
          <w:rFonts w:ascii="Arial" w:eastAsia="Times New Roman" w:hAnsi="Arial" w:cs="Arial"/>
          <w:i/>
          <w:iCs/>
          <w:color w:val="000000"/>
          <w:sz w:val="20"/>
          <w:szCs w:val="20"/>
          <w:lang w:eastAsia="el-GR"/>
        </w:rPr>
        <w:t>κατά το μέρος</w:t>
      </w:r>
      <w:r w:rsidRPr="00564FF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 τις σαράντα χιλιάδες (40.000) ευρώ.</w:t>
      </w:r>
    </w:p>
    <w:sectPr w:rsidR="00564FF3" w:rsidRPr="00564FF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F3"/>
    <w:rsid w:val="00564FF3"/>
    <w:rsid w:val="00D0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6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564FF3"/>
    <w:rPr>
      <w:b/>
      <w:bCs/>
    </w:rPr>
  </w:style>
  <w:style w:type="paragraph" w:customStyle="1" w:styleId="western">
    <w:name w:val="western"/>
    <w:basedOn w:val="a"/>
    <w:rsid w:val="0056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pple-converted-space">
    <w:name w:val="apple-converted-space"/>
    <w:basedOn w:val="a0"/>
    <w:rsid w:val="00564FF3"/>
  </w:style>
  <w:style w:type="character" w:styleId="a4">
    <w:name w:val="Emphasis"/>
    <w:basedOn w:val="a0"/>
    <w:uiPriority w:val="20"/>
    <w:qFormat/>
    <w:rsid w:val="00564FF3"/>
    <w:rPr>
      <w:i/>
      <w:iCs/>
    </w:rPr>
  </w:style>
  <w:style w:type="character" w:styleId="-">
    <w:name w:val="Hyperlink"/>
    <w:basedOn w:val="a0"/>
    <w:uiPriority w:val="99"/>
    <w:semiHidden/>
    <w:unhideWhenUsed/>
    <w:rsid w:val="00564F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6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564FF3"/>
    <w:rPr>
      <w:b/>
      <w:bCs/>
    </w:rPr>
  </w:style>
  <w:style w:type="paragraph" w:customStyle="1" w:styleId="western">
    <w:name w:val="western"/>
    <w:basedOn w:val="a"/>
    <w:rsid w:val="0056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pple-converted-space">
    <w:name w:val="apple-converted-space"/>
    <w:basedOn w:val="a0"/>
    <w:rsid w:val="00564FF3"/>
  </w:style>
  <w:style w:type="character" w:styleId="a4">
    <w:name w:val="Emphasis"/>
    <w:basedOn w:val="a0"/>
    <w:uiPriority w:val="20"/>
    <w:qFormat/>
    <w:rsid w:val="00564FF3"/>
    <w:rPr>
      <w:i/>
      <w:iCs/>
    </w:rPr>
  </w:style>
  <w:style w:type="character" w:styleId="-">
    <w:name w:val="Hyperlink"/>
    <w:basedOn w:val="a0"/>
    <w:uiPriority w:val="99"/>
    <w:semiHidden/>
    <w:unhideWhenUsed/>
    <w:rsid w:val="00564F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2018">
          <w:marLeft w:val="0"/>
          <w:marRight w:val="0"/>
          <w:marTop w:val="0"/>
          <w:marBottom w:val="360"/>
          <w:divBdr>
            <w:top w:val="single" w:sz="6" w:space="0" w:color="E3CFE0"/>
            <w:left w:val="single" w:sz="6" w:space="0" w:color="E3CFE0"/>
            <w:bottom w:val="single" w:sz="6" w:space="0" w:color="E3CFE0"/>
            <w:right w:val="single" w:sz="6" w:space="0" w:color="E3CFE0"/>
          </w:divBdr>
          <w:divsChild>
            <w:div w:id="1151747619">
              <w:marLeft w:val="0"/>
              <w:marRight w:val="0"/>
              <w:marTop w:val="0"/>
              <w:marBottom w:val="0"/>
              <w:divBdr>
                <w:top w:val="single" w:sz="6" w:space="12" w:color="FEFAFE"/>
                <w:left w:val="single" w:sz="6" w:space="12" w:color="FEFAFE"/>
                <w:bottom w:val="single" w:sz="6" w:space="12" w:color="FEFAFE"/>
                <w:right w:val="single" w:sz="6" w:space="12" w:color="FEFAF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1553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1</cp:revision>
  <dcterms:created xsi:type="dcterms:W3CDTF">2017-02-24T07:18:00Z</dcterms:created>
  <dcterms:modified xsi:type="dcterms:W3CDTF">2017-02-24T07:22:00Z</dcterms:modified>
</cp:coreProperties>
</file>